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2420620</wp:posOffset>
                </wp:positionH>
                <wp:positionV relativeFrom="page">
                  <wp:posOffset>680720</wp:posOffset>
                </wp:positionV>
                <wp:extent cx="12700" cy="95592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2420620</wp:posOffset>
                </wp:positionH>
                <wp:positionV relativeFrom="page">
                  <wp:posOffset>680720</wp:posOffset>
                </wp:positionV>
                <wp:extent cx="12700" cy="95592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59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Европейски формат на автобиография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Лична информация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Мария Димитрова Драгнева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praskova@gmail.com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на раждане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 март 1973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6"/>
        </w:tabs>
        <w:spacing w:after="0" w:before="0" w:line="240" w:lineRule="auto"/>
        <w:ind w:left="204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Профил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Научен изследовател с 20 години опит в областта на клетъчната сигнализация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6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молекулярната и клетъчна биология. Притежава докторска степен по  биохимия. Отлични умения в обработката, анализа и обобщаването на научна информация, със силни организационни и комуникативни умения.</w:t>
      </w:r>
    </w:p>
    <w:tbl>
      <w:tblPr>
        <w:tblStyle w:val="Table5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 стаж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Дати (от-до)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03/2013 - досега</w:t>
      </w:r>
    </w:p>
    <w:tbl>
      <w:tblPr>
        <w:tblStyle w:val="Table6"/>
        <w:tblW w:w="10456.000000000002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945"/>
        <w:gridCol w:w="284"/>
        <w:tblGridChange w:id="0">
          <w:tblGrid>
            <w:gridCol w:w="2943"/>
            <w:gridCol w:w="284"/>
            <w:gridCol w:w="6945"/>
            <w:gridCol w:w="2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 и адрес на работодателя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Катедра Химия и Биохимия, МУ - София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на дейността или сферата на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Лектор по Медицинска биохимия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Заемана длъжност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Доцент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Основни дейности и отговорности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преподавателската и научно-изследователската дейност.Ръководна роля  в проекти, изследващи поведението на соматични стволови клетки в различни моделни системи.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Дати (от-до)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12/2002 – 01/2009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 и адрес на работодателя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Катедра по Медицина, Harvard Medical School, Катедра по Молекулярна Биология, Massachusetts General Hospital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на дейността или сферата на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Разработване на in vitro и in vivo методи за изследване на протеин кинази с потенциално участие в регулацията на клетъчното делене и програмираната клетъчна смърт.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Заемана длъжност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Научен изследовател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Основни дейности и отговорности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научни разработки. Ръководна роля в проект, откриващ нови субстрати и регулатори на изследваните протеин кинази.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Дати (от-до)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720" w:right="0" w:hanging="72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09/2002 – 10/2005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 и адрес на работодателя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Катедра Химия и Биохимия, МУ - София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на дейността или сферата на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Преподаване не студенти медици, стоматолози и фармацевти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Заемана длъжност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Асистент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Основни дейности и отговорности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преподавателската дейност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Дати (от-до)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01/1997 – 05/2002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 и адрес на работодателя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Катедра Химия и Биохимия, МУ - София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на дейността или сферата на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на in vitro култури от нормални човешки епидермални кератиноцити. Изследване на главните сигнални пътища, контролиращи автокринната пролиферация на първични човешки кератиноцити.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Заемана длъжност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Докторант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Основни дейности и отговорности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Ключово участие в редица проекти, финансирани от МОН. Обучаване на студенти и младши докторанти.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Дати (от-до)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01/1996 – 07/1996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 и адрес на работодателя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Катедра Химия и Биохимия, МУ - София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на дейността или сферата на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Разработване на дипломна работа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Заемана длъжност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Специализант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Основни дейности и отговорности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Изследване на мутациите в тумор супресорния ген BRCA1 при фамилни форми на рак на млечната жлеза.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 и обучение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01/1997 – 05/2002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Катедра Химия и Биохимия, МУ - София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Докторска степен по Биохимия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10/1991 – 07/1996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Софийски универитет „Св. Климент Охридски”, Биологически факултет, Катедра Генетика и Медицински университет – София, Катедра Химия и Биохимия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Магистратура по генно инженерство</w:t>
            </w:r>
          </w:p>
        </w:tc>
      </w:tr>
    </w:tbl>
    <w:p w:rsidR="00000000" w:rsidDel="00000000" w:rsidP="00000000" w:rsidRDefault="00000000" w:rsidRPr="00000000" w14:paraId="0000008A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Дати (от-до)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09/1987 – 06/1991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Име и вид на обучаващата или образователната организация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Национална природоматематическа гимназия „Акад. Л. Чакалов”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Наименование на придобитата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Специалност Биология</w:t>
            </w:r>
          </w:p>
        </w:tc>
      </w:tr>
    </w:tbl>
    <w:p w:rsidR="00000000" w:rsidDel="00000000" w:rsidP="00000000" w:rsidRDefault="00000000" w:rsidRPr="00000000" w14:paraId="00000094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Лични умения и компетенции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Майчин 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Български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 езици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Английски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Четене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Писане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Разговор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 езици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Руски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Четене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отлично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Писане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отлично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Разговор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отлично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 езици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Испански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Четене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добро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Писане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добро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Разговор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Технически умения и компетенции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Биохимия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54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Ензимна кинетика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54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SDS – PAGE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54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Western blot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54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54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Фракциониране и пречистване на белтъци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Клетъчна биология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54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Култивиране на клетки, в това число стволови и ембрионални клетки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54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Трансфекция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54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Ретровирусна инфекция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54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RNAi gene knockdown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Молекулярна биология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54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cDNA субклониране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54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изолиране на нуклеинови киселини, pcr/rt-pcr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54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Northern и Southern blot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Допълнителна информация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Награда за млад учен „Акад. Асен Хаджиолов” за високи постижения в научно-изследователската и преподавателска дейност – 2003г.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ab/>
        <w:tab/>
        <w:tab/>
        <w:t xml:space="preserve">      16 Публикации в списания с импакт фактор</w:t>
      </w:r>
    </w:p>
    <w:p w:rsidR="00000000" w:rsidDel="00000000" w:rsidP="00000000" w:rsidRDefault="00000000" w:rsidRPr="00000000" w14:paraId="000000E7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ab/>
        <w:tab/>
        <w:tab/>
        <w:t xml:space="preserve">      1096 цитирания към април 2019 г. (по Google Scholar citations)</w:t>
      </w:r>
    </w:p>
    <w:p w:rsidR="00000000" w:rsidDel="00000000" w:rsidP="00000000" w:rsidRDefault="00000000" w:rsidRPr="00000000" w14:paraId="000000E9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ab/>
        <w:tab/>
        <w:tab/>
        <w:t xml:space="preserve">       h индекс 10</w:t>
      </w:r>
    </w:p>
    <w:p w:rsidR="00000000" w:rsidDel="00000000" w:rsidP="00000000" w:rsidRDefault="00000000" w:rsidRPr="00000000" w14:paraId="000000EA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ab/>
        <w:tab/>
        <w:tab/>
        <w:tab/>
        <w:t xml:space="preserve">       </w:t>
      </w:r>
    </w:p>
    <w:sectPr>
      <w:footerReference r:id="rId11" w:type="default"/>
      <w:footerReference r:id="rId12" w:type="even"/>
      <w:pgSz w:h="16840" w:w="11907" w:orient="portrait"/>
      <w:pgMar w:bottom="851" w:top="851" w:left="851" w:right="179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стр.</w:t>
    </w:r>
  </w:p>
  <w:p w:rsidR="00000000" w:rsidDel="00000000" w:rsidP="00000000" w:rsidRDefault="00000000" w:rsidRPr="00000000" w14:paraId="000000E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5"/>
      <w:tblW w:w="9322.0" w:type="dxa"/>
      <w:jc w:val="left"/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2943"/>
      <w:gridCol w:w="284"/>
      <w:gridCol w:w="6095"/>
      <w:tblGridChange w:id="0">
        <w:tblGrid>
          <w:gridCol w:w="2943"/>
          <w:gridCol w:w="284"/>
          <w:gridCol w:w="609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E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Автобиография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center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Мария Драгнева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F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F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7"/>
      <w:numFmt w:val="bullet"/>
      <w:lvlText w:val="-"/>
      <w:lvlJc w:val="left"/>
      <w:pPr>
        <w:ind w:left="54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aoeeu">
    <w:name w:val="Aaoeeu"/>
    <w:next w:val="Aaoeeu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?eeaoae?aa1">
    <w:name w:val="A?eeaoae?aa 1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Eaoae?aa">
    <w:name w:val="Eaoae?aa"/>
    <w:basedOn w:val="Aaoeeu"/>
    <w:next w:val="Eaoae?aa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O?iaeaeiYiio2">
    <w:name w:val="O?ia eaeiYiio 2"/>
    <w:basedOn w:val="Aaoeeu"/>
    <w:next w:val="O?iaeaeiYiio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A?eeaoae?aa2">
    <w:name w:val="A?eeaoae?aa 2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12" Type="http://schemas.openxmlformats.org/officeDocument/2006/relationships/footer" Target="footer2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+Gih8KruOwT5b8ytv1zGKIZU4Q==">AMUW2mX7EzhELQ7mZqF5NSN9GpvxY6blUUAqR2V0aCasWj8O4KM9XAI85UdgSvncZX2XEegy9KdRoFEDuqRkW+Up7iwjp0iVFR5Yfb0YvOZrw8A4QRGJviY=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2019-04-08T06:39:00Z</dcterms:created>
  <dc:creator>Alexander Geoshev</dc:creator>
</cp:coreProperties>
</file>